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 Review"</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"Benchmarked Deliverables"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Rates"</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"Comparison Group"</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"Equivalent Data"</w:t>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Value"</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"Upper Quartile"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Benchmarking</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rFonts w:ascii="Arial" w:cs="Arial" w:eastAsia="Arial" w:hAnsi="Arial"/>
          <w:b w:val="1"/>
          <w:color w:val="000000"/>
          <w:sz w:val="24"/>
          <w:szCs w:val="24"/>
          <w:rtl w:val="0"/>
        </w:rPr>
        <w:t xml:space="preserve">How benchmarking works</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rFonts w:ascii="Arial" w:cs="Arial" w:eastAsia="Arial" w:hAnsi="Arial"/>
          <w:b w:val="1"/>
          <w:color w:val="000000"/>
          <w:sz w:val="24"/>
          <w:szCs w:val="24"/>
          <w:rtl w:val="0"/>
        </w:rPr>
        <w:t xml:space="preserve">Benchmarking Process</w:t>
      </w:r>
    </w:p>
    <w:p w:rsidR="00000000" w:rsidDel="00000000" w:rsidP="00000000" w:rsidRDefault="00000000" w:rsidRPr="00000000" w14:paraId="00000022">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p>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proposed cost and timetable for the Benchmark Review;</w:t>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using:</w:t>
      </w:r>
    </w:p>
    <w:p w:rsidR="00000000" w:rsidDel="00000000" w:rsidP="00000000" w:rsidRDefault="00000000" w:rsidRPr="00000000" w14:paraId="0000002B">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market intelligence;</w:t>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benchmarker’s own data and experience;</w:t>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published information; and</w:t>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using the Equivalent Data, calculate the Upper Quartile;</w:t>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exchange rates;</w:t>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color w:val="000000"/>
          <w:sz w:val="24"/>
          <w:szCs w:val="24"/>
        </w:rPr>
      </w:pPr>
      <w:r w:rsidDel="00000000" w:rsidR="00000000" w:rsidRPr="00000000">
        <w:rPr>
          <w:rFonts w:ascii="Arial" w:cs="Arial" w:eastAsia="Arial" w:hAnsi="Arial"/>
          <w:b w:val="1"/>
          <w:color w:val="000000"/>
          <w:sz w:val="24"/>
          <w:szCs w:val="24"/>
          <w:rtl w:val="0"/>
        </w:rPr>
        <w:t xml:space="preserve">Benchmarking Report</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jh4HJXIa41fScUjyr3Ej9zpx5A==">CgMxLjAyCWguM2R5NnZrbTIIaC5namRneHMyCWguMzBqMHpsbDIJaC4xZm9iOXRlMgloLjN6bnlzaDcyCWguMmV0OTJwMDIIaC50eWpjd3Q4AHIhMXlfX21Da0syMlpIMEtPdzMwUDlxd2h6c090Q2lQWnpB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